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A" w:rsidRDefault="002C5A37" w:rsidP="002C5A37">
      <w:pPr>
        <w:jc w:val="center"/>
        <w:rPr>
          <w:rFonts w:ascii="Times New Roman" w:eastAsia="Times New Roman" w:hAnsi="Times New Roman" w:cs="Times New Roman"/>
          <w:b/>
          <w:color w:val="000000" w:themeColor="text1"/>
          <w:sz w:val="28"/>
          <w:szCs w:val="24"/>
        </w:rPr>
      </w:pPr>
      <w:r w:rsidRPr="00AA3726">
        <w:rPr>
          <w:rFonts w:ascii="Times New Roman" w:eastAsia="Times New Roman" w:hAnsi="Times New Roman" w:cs="Times New Roman"/>
          <w:b/>
          <w:color w:val="000000" w:themeColor="text1"/>
          <w:sz w:val="28"/>
          <w:szCs w:val="24"/>
        </w:rPr>
        <w:t>Contract Award Notice</w:t>
      </w:r>
    </w:p>
    <w:p w:rsidR="00AA3726" w:rsidRPr="00AA3726" w:rsidRDefault="00AA3726" w:rsidP="002C5A37">
      <w:pPr>
        <w:jc w:val="center"/>
        <w:rPr>
          <w:rFonts w:ascii="Times New Roman" w:eastAsia="Times New Roman" w:hAnsi="Times New Roman" w:cs="Times New Roman"/>
          <w:b/>
          <w:color w:val="000000" w:themeColor="text1"/>
          <w:sz w:val="28"/>
          <w:szCs w:val="24"/>
        </w:rPr>
      </w:pPr>
    </w:p>
    <w:p w:rsidR="00AA3726" w:rsidRDefault="00E81BE9" w:rsidP="002C5A37">
      <w:pPr>
        <w:spacing w:after="0" w:line="240" w:lineRule="auto"/>
        <w:rPr>
          <w:rFonts w:ascii="Times New Roman" w:eastAsia="Times New Roman" w:hAnsi="Times New Roman" w:cs="Times New Roman"/>
          <w:b/>
          <w:iCs/>
          <w:color w:val="000000" w:themeColor="text1"/>
          <w:sz w:val="24"/>
          <w:szCs w:val="24"/>
        </w:rPr>
      </w:pPr>
      <w:r>
        <w:rPr>
          <w:rFonts w:ascii="Times New Roman" w:eastAsia="Times New Roman" w:hAnsi="Times New Roman" w:cs="Times New Roman"/>
          <w:b/>
          <w:iCs/>
          <w:color w:val="000000" w:themeColor="text1"/>
          <w:sz w:val="24"/>
          <w:szCs w:val="24"/>
        </w:rPr>
        <w:t>5</w:t>
      </w:r>
      <w:bookmarkStart w:id="0" w:name="_GoBack"/>
      <w:bookmarkEnd w:id="0"/>
      <w:r w:rsidR="00C207E4">
        <w:rPr>
          <w:rFonts w:ascii="Times New Roman" w:eastAsia="Times New Roman" w:hAnsi="Times New Roman" w:cs="Times New Roman"/>
          <w:b/>
          <w:iCs/>
          <w:color w:val="000000" w:themeColor="text1"/>
          <w:sz w:val="24"/>
          <w:szCs w:val="24"/>
        </w:rPr>
        <w:t xml:space="preserve"> November</w:t>
      </w:r>
      <w:r w:rsidR="00AA3726">
        <w:rPr>
          <w:rFonts w:ascii="Times New Roman" w:eastAsia="Times New Roman" w:hAnsi="Times New Roman" w:cs="Times New Roman"/>
          <w:b/>
          <w:iCs/>
          <w:color w:val="000000" w:themeColor="text1"/>
          <w:sz w:val="24"/>
          <w:szCs w:val="24"/>
        </w:rPr>
        <w:t xml:space="preserve"> 2021</w:t>
      </w:r>
    </w:p>
    <w:p w:rsidR="00AA3726" w:rsidRDefault="00AA3726" w:rsidP="002C5A37">
      <w:pPr>
        <w:spacing w:after="0" w:line="240" w:lineRule="auto"/>
        <w:rPr>
          <w:rFonts w:ascii="Times New Roman" w:eastAsia="Times New Roman" w:hAnsi="Times New Roman" w:cs="Times New Roman"/>
          <w:b/>
          <w:iCs/>
          <w:color w:val="000000" w:themeColor="text1"/>
          <w:sz w:val="24"/>
          <w:szCs w:val="24"/>
        </w:rPr>
      </w:pPr>
    </w:p>
    <w:p w:rsidR="002C5A37" w:rsidRPr="00AA3726" w:rsidRDefault="002C5A37" w:rsidP="002C5A37">
      <w:pPr>
        <w:spacing w:after="0" w:line="240" w:lineRule="auto"/>
        <w:rPr>
          <w:rFonts w:ascii="Times New Roman" w:eastAsia="Times New Roman" w:hAnsi="Times New Roman" w:cs="Times New Roman"/>
          <w:b/>
          <w:color w:val="000000" w:themeColor="text1"/>
          <w:sz w:val="24"/>
          <w:szCs w:val="24"/>
        </w:rPr>
      </w:pPr>
      <w:r w:rsidRPr="002C5A37">
        <w:rPr>
          <w:rFonts w:ascii="Times New Roman" w:eastAsia="Times New Roman" w:hAnsi="Times New Roman" w:cs="Times New Roman"/>
          <w:b/>
          <w:iCs/>
          <w:color w:val="000000" w:themeColor="text1"/>
          <w:sz w:val="24"/>
          <w:szCs w:val="24"/>
        </w:rPr>
        <w:t>Purchaser</w:t>
      </w:r>
      <w:r w:rsidRPr="002C5A37">
        <w:rPr>
          <w:rFonts w:ascii="Times New Roman" w:eastAsia="Times New Roman" w:hAnsi="Times New Roman" w:cs="Times New Roman"/>
          <w:b/>
          <w:color w:val="000000" w:themeColor="text1"/>
          <w:sz w:val="24"/>
          <w:szCs w:val="24"/>
        </w:rPr>
        <w:t>: Ministry of Education and Science</w:t>
      </w:r>
    </w:p>
    <w:p w:rsidR="002C5A37" w:rsidRPr="002C5A37" w:rsidRDefault="002C5A37" w:rsidP="002C5A37">
      <w:pPr>
        <w:spacing w:after="0" w:line="240" w:lineRule="auto"/>
        <w:rPr>
          <w:rFonts w:ascii="Times New Roman" w:eastAsia="Times New Roman" w:hAnsi="Times New Roman" w:cs="Times New Roman"/>
          <w:i/>
          <w:color w:val="000000" w:themeColor="text1"/>
          <w:sz w:val="24"/>
          <w:szCs w:val="24"/>
        </w:rPr>
      </w:pPr>
      <w:r w:rsidRPr="00AA3726">
        <w:rPr>
          <w:rFonts w:ascii="Times New Roman" w:eastAsia="Times New Roman" w:hAnsi="Times New Roman" w:cs="Times New Roman"/>
          <w:b/>
          <w:color w:val="000000" w:themeColor="text1"/>
          <w:sz w:val="24"/>
          <w:szCs w:val="24"/>
        </w:rPr>
        <w:t xml:space="preserve">Address: </w:t>
      </w:r>
      <w:proofErr w:type="spellStart"/>
      <w:r w:rsidRPr="00AA3726">
        <w:rPr>
          <w:rFonts w:ascii="Times New Roman" w:eastAsia="Times New Roman" w:hAnsi="Times New Roman" w:cs="Times New Roman"/>
          <w:b/>
          <w:color w:val="000000" w:themeColor="text1"/>
          <w:sz w:val="24"/>
          <w:szCs w:val="24"/>
        </w:rPr>
        <w:t>ul</w:t>
      </w:r>
      <w:proofErr w:type="spellEnd"/>
      <w:r w:rsidRPr="00AA3726">
        <w:rPr>
          <w:rFonts w:ascii="Times New Roman" w:eastAsia="Times New Roman" w:hAnsi="Times New Roman" w:cs="Times New Roman"/>
          <w:b/>
          <w:color w:val="000000" w:themeColor="text1"/>
          <w:sz w:val="24"/>
          <w:szCs w:val="24"/>
        </w:rPr>
        <w:t xml:space="preserve">. </w:t>
      </w:r>
      <w:proofErr w:type="spellStart"/>
      <w:r w:rsidRPr="00AA3726">
        <w:rPr>
          <w:rFonts w:ascii="Times New Roman" w:eastAsia="Times New Roman" w:hAnsi="Times New Roman" w:cs="Times New Roman"/>
          <w:b/>
          <w:color w:val="000000" w:themeColor="text1"/>
          <w:sz w:val="24"/>
          <w:szCs w:val="24"/>
        </w:rPr>
        <w:t>Sv</w:t>
      </w:r>
      <w:proofErr w:type="spellEnd"/>
      <w:r w:rsidRPr="00AA3726">
        <w:rPr>
          <w:rFonts w:ascii="Times New Roman" w:eastAsia="Times New Roman" w:hAnsi="Times New Roman" w:cs="Times New Roman"/>
          <w:b/>
          <w:color w:val="000000" w:themeColor="text1"/>
          <w:sz w:val="24"/>
          <w:szCs w:val="24"/>
        </w:rPr>
        <w:t xml:space="preserve">. </w:t>
      </w:r>
      <w:proofErr w:type="spellStart"/>
      <w:r w:rsidRPr="00AA3726">
        <w:rPr>
          <w:rFonts w:ascii="Times New Roman" w:eastAsia="Times New Roman" w:hAnsi="Times New Roman" w:cs="Times New Roman"/>
          <w:b/>
          <w:color w:val="000000" w:themeColor="text1"/>
          <w:sz w:val="24"/>
          <w:szCs w:val="24"/>
        </w:rPr>
        <w:t>Kiril</w:t>
      </w:r>
      <w:proofErr w:type="spellEnd"/>
      <w:r w:rsidRPr="00AA3726">
        <w:rPr>
          <w:rFonts w:ascii="Times New Roman" w:eastAsia="Times New Roman" w:hAnsi="Times New Roman" w:cs="Times New Roman"/>
          <w:b/>
          <w:color w:val="000000" w:themeColor="text1"/>
          <w:sz w:val="24"/>
          <w:szCs w:val="24"/>
        </w:rPr>
        <w:t xml:space="preserve"> </w:t>
      </w:r>
      <w:proofErr w:type="spellStart"/>
      <w:r w:rsidRPr="00AA3726">
        <w:rPr>
          <w:rFonts w:ascii="Times New Roman" w:eastAsia="Times New Roman" w:hAnsi="Times New Roman" w:cs="Times New Roman"/>
          <w:b/>
          <w:color w:val="000000" w:themeColor="text1"/>
          <w:sz w:val="24"/>
          <w:szCs w:val="24"/>
        </w:rPr>
        <w:t>i</w:t>
      </w:r>
      <w:proofErr w:type="spellEnd"/>
      <w:r w:rsidRPr="00AA3726">
        <w:rPr>
          <w:rFonts w:ascii="Times New Roman" w:eastAsia="Times New Roman" w:hAnsi="Times New Roman" w:cs="Times New Roman"/>
          <w:b/>
          <w:color w:val="000000" w:themeColor="text1"/>
          <w:sz w:val="24"/>
          <w:szCs w:val="24"/>
        </w:rPr>
        <w:t xml:space="preserve"> </w:t>
      </w:r>
      <w:proofErr w:type="spellStart"/>
      <w:r w:rsidRPr="00AA3726">
        <w:rPr>
          <w:rFonts w:ascii="Times New Roman" w:eastAsia="Times New Roman" w:hAnsi="Times New Roman" w:cs="Times New Roman"/>
          <w:b/>
          <w:color w:val="000000" w:themeColor="text1"/>
          <w:sz w:val="24"/>
          <w:szCs w:val="24"/>
        </w:rPr>
        <w:t>Metodij</w:t>
      </w:r>
      <w:proofErr w:type="spellEnd"/>
      <w:r w:rsidRPr="00AA3726">
        <w:rPr>
          <w:rFonts w:ascii="Times New Roman" w:eastAsia="Times New Roman" w:hAnsi="Times New Roman" w:cs="Times New Roman"/>
          <w:b/>
          <w:color w:val="000000" w:themeColor="text1"/>
          <w:sz w:val="24"/>
          <w:szCs w:val="24"/>
        </w:rPr>
        <w:t xml:space="preserve"> 54, 1000 Skopje, Republic of North Macedonia</w:t>
      </w:r>
    </w:p>
    <w:p w:rsidR="002C5A37" w:rsidRPr="00C207E4" w:rsidRDefault="002C5A37" w:rsidP="002C5A37">
      <w:pPr>
        <w:spacing w:after="0" w:line="240" w:lineRule="auto"/>
        <w:rPr>
          <w:rFonts w:ascii="Times New Roman" w:eastAsia="Times New Roman" w:hAnsi="Times New Roman" w:cs="Times New Roman"/>
          <w:b/>
          <w:color w:val="000000" w:themeColor="text1"/>
          <w:sz w:val="24"/>
          <w:szCs w:val="24"/>
        </w:rPr>
      </w:pPr>
      <w:r w:rsidRPr="002C5A37">
        <w:rPr>
          <w:rFonts w:ascii="Times New Roman" w:eastAsia="Times New Roman" w:hAnsi="Times New Roman" w:cs="Times New Roman"/>
          <w:b/>
          <w:color w:val="000000" w:themeColor="text1"/>
          <w:sz w:val="24"/>
          <w:szCs w:val="24"/>
        </w:rPr>
        <w:t>Project:</w:t>
      </w:r>
      <w:r w:rsidRPr="002C5A37">
        <w:rPr>
          <w:rFonts w:ascii="Times New Roman" w:eastAsia="Times New Roman" w:hAnsi="Times New Roman" w:cs="Times New Roman"/>
          <w:b/>
          <w:bCs/>
          <w:i/>
          <w:iCs/>
          <w:color w:val="000000" w:themeColor="text1"/>
          <w:sz w:val="24"/>
          <w:szCs w:val="24"/>
        </w:rPr>
        <w:t xml:space="preserve"> </w:t>
      </w:r>
      <w:r w:rsidRPr="00C207E4">
        <w:rPr>
          <w:rFonts w:ascii="Times New Roman" w:eastAsia="Times New Roman" w:hAnsi="Times New Roman" w:cs="Times New Roman"/>
          <w:b/>
          <w:color w:val="000000" w:themeColor="text1"/>
          <w:sz w:val="24"/>
          <w:szCs w:val="24"/>
        </w:rPr>
        <w:t>Primary Education Improvement Project</w:t>
      </w:r>
    </w:p>
    <w:p w:rsidR="00C207E4" w:rsidRPr="00C207E4" w:rsidRDefault="00C207E4" w:rsidP="00C207E4">
      <w:pPr>
        <w:spacing w:after="0" w:line="240" w:lineRule="auto"/>
        <w:rPr>
          <w:rFonts w:ascii="Times New Roman" w:eastAsia="Times New Roman" w:hAnsi="Times New Roman" w:cs="Times New Roman"/>
          <w:b/>
          <w:color w:val="000000" w:themeColor="text1"/>
          <w:sz w:val="24"/>
          <w:szCs w:val="24"/>
        </w:rPr>
      </w:pPr>
      <w:r w:rsidRPr="00C207E4">
        <w:rPr>
          <w:rFonts w:ascii="Times New Roman" w:eastAsia="Times New Roman" w:hAnsi="Times New Roman" w:cs="Times New Roman"/>
          <w:b/>
          <w:color w:val="000000" w:themeColor="text1"/>
          <w:sz w:val="24"/>
          <w:szCs w:val="24"/>
        </w:rPr>
        <w:t>Contract title: Procurement of science laboratories equipment and resources for primary schools</w:t>
      </w:r>
    </w:p>
    <w:p w:rsidR="00C207E4" w:rsidRPr="00C207E4" w:rsidRDefault="00C207E4" w:rsidP="00C207E4">
      <w:pPr>
        <w:spacing w:after="0" w:line="240" w:lineRule="auto"/>
        <w:rPr>
          <w:rFonts w:ascii="Times New Roman" w:eastAsia="Times New Roman" w:hAnsi="Times New Roman" w:cs="Times New Roman"/>
          <w:b/>
          <w:color w:val="000000" w:themeColor="text1"/>
          <w:sz w:val="24"/>
          <w:szCs w:val="24"/>
        </w:rPr>
      </w:pPr>
      <w:r w:rsidRPr="00C207E4">
        <w:rPr>
          <w:rFonts w:ascii="Times New Roman" w:eastAsia="Times New Roman" w:hAnsi="Times New Roman" w:cs="Times New Roman"/>
          <w:b/>
          <w:color w:val="000000" w:themeColor="text1"/>
          <w:sz w:val="24"/>
          <w:szCs w:val="24"/>
        </w:rPr>
        <w:t>Country: Republic of North Macedonia</w:t>
      </w:r>
    </w:p>
    <w:p w:rsidR="00C207E4" w:rsidRPr="00C207E4" w:rsidRDefault="00C207E4" w:rsidP="00C207E4">
      <w:pPr>
        <w:spacing w:after="0" w:line="240" w:lineRule="auto"/>
        <w:rPr>
          <w:rFonts w:ascii="Times New Roman" w:eastAsia="Times New Roman" w:hAnsi="Times New Roman" w:cs="Times New Roman"/>
          <w:b/>
          <w:color w:val="000000" w:themeColor="text1"/>
          <w:sz w:val="24"/>
          <w:szCs w:val="24"/>
        </w:rPr>
      </w:pPr>
      <w:r w:rsidRPr="00C207E4">
        <w:rPr>
          <w:rFonts w:ascii="Times New Roman" w:eastAsia="Times New Roman" w:hAnsi="Times New Roman" w:cs="Times New Roman"/>
          <w:b/>
          <w:color w:val="000000" w:themeColor="text1"/>
          <w:sz w:val="24"/>
          <w:szCs w:val="24"/>
        </w:rPr>
        <w:t>Loan No.: 9182-MK</w:t>
      </w:r>
    </w:p>
    <w:p w:rsidR="002C5A37" w:rsidRDefault="00C207E4" w:rsidP="00C207E4">
      <w:pPr>
        <w:spacing w:after="0" w:line="240" w:lineRule="auto"/>
        <w:rPr>
          <w:rFonts w:ascii="Times New Roman" w:eastAsia="Times New Roman" w:hAnsi="Times New Roman" w:cs="Times New Roman"/>
          <w:b/>
          <w:color w:val="000000" w:themeColor="text1"/>
          <w:sz w:val="24"/>
          <w:szCs w:val="24"/>
        </w:rPr>
      </w:pPr>
      <w:r w:rsidRPr="00C207E4">
        <w:rPr>
          <w:rFonts w:ascii="Times New Roman" w:eastAsia="Times New Roman" w:hAnsi="Times New Roman" w:cs="Times New Roman"/>
          <w:b/>
          <w:color w:val="000000" w:themeColor="text1"/>
          <w:sz w:val="24"/>
          <w:szCs w:val="24"/>
        </w:rPr>
        <w:t>RFB No: MK-MES-217553-GO-RFB/020-21</w:t>
      </w:r>
    </w:p>
    <w:p w:rsidR="00C207E4" w:rsidRDefault="00C207E4" w:rsidP="00C207E4">
      <w:pPr>
        <w:spacing w:after="0" w:line="240" w:lineRule="auto"/>
        <w:rPr>
          <w:rFonts w:ascii="Times New Roman" w:eastAsia="Times New Roman" w:hAnsi="Times New Roman" w:cs="Times New Roman"/>
          <w:b/>
          <w:color w:val="000000" w:themeColor="text1"/>
          <w:sz w:val="24"/>
          <w:szCs w:val="24"/>
        </w:rPr>
      </w:pPr>
    </w:p>
    <w:p w:rsidR="00C207E4" w:rsidRPr="00C207E4" w:rsidRDefault="00C207E4" w:rsidP="00C207E4">
      <w:pPr>
        <w:spacing w:after="0" w:line="240" w:lineRule="auto"/>
        <w:rPr>
          <w:rFonts w:ascii="Times New Roman" w:eastAsia="Times New Roman" w:hAnsi="Times New Roman" w:cs="Times New Roman"/>
          <w:b/>
          <w:color w:val="000000" w:themeColor="text1"/>
          <w:sz w:val="24"/>
          <w:szCs w:val="24"/>
        </w:rPr>
      </w:pPr>
    </w:p>
    <w:p w:rsidR="002C5A37" w:rsidRPr="00AA3726" w:rsidRDefault="002C5A37" w:rsidP="002C5A37">
      <w:pPr>
        <w:rPr>
          <w:rFonts w:ascii="Times New Roman" w:hAnsi="Times New Roman" w:cs="Times New Roman"/>
          <w:b/>
          <w:sz w:val="24"/>
          <w:szCs w:val="24"/>
        </w:rPr>
      </w:pPr>
      <w:r w:rsidRPr="00AA3726">
        <w:rPr>
          <w:rFonts w:ascii="Times New Roman" w:hAnsi="Times New Roman" w:cs="Times New Roman"/>
          <w:b/>
          <w:sz w:val="24"/>
          <w:szCs w:val="24"/>
        </w:rPr>
        <w:t>1. Bidders that submitted Bids</w:t>
      </w:r>
    </w:p>
    <w:tbl>
      <w:tblPr>
        <w:tblStyle w:val="TableGrid"/>
        <w:tblW w:w="9067" w:type="dxa"/>
        <w:tblLook w:val="04A0" w:firstRow="1" w:lastRow="0" w:firstColumn="1" w:lastColumn="0" w:noHBand="0" w:noVBand="1"/>
      </w:tblPr>
      <w:tblGrid>
        <w:gridCol w:w="4077"/>
        <w:gridCol w:w="2439"/>
        <w:gridCol w:w="2551"/>
      </w:tblGrid>
      <w:tr w:rsidR="002C5A37" w:rsidRPr="002C5A37" w:rsidTr="00C207E4">
        <w:tc>
          <w:tcPr>
            <w:tcW w:w="4077" w:type="dxa"/>
            <w:shd w:val="clear" w:color="auto" w:fill="C6D9F1" w:themeFill="text2" w:themeFillTint="33"/>
            <w:vAlign w:val="center"/>
          </w:tcPr>
          <w:p w:rsidR="002C5A37" w:rsidRPr="002C5A37" w:rsidRDefault="002C5A37" w:rsidP="002C5A37">
            <w:pPr>
              <w:spacing w:before="60" w:after="60"/>
              <w:ind w:right="33"/>
              <w:jc w:val="center"/>
              <w:rPr>
                <w:b/>
                <w:iCs/>
              </w:rPr>
            </w:pPr>
            <w:r w:rsidRPr="002C5A37">
              <w:rPr>
                <w:b/>
                <w:iCs/>
              </w:rPr>
              <w:t>Name of Bidder</w:t>
            </w:r>
          </w:p>
        </w:tc>
        <w:tc>
          <w:tcPr>
            <w:tcW w:w="2439" w:type="dxa"/>
            <w:shd w:val="clear" w:color="auto" w:fill="C6D9F1" w:themeFill="text2" w:themeFillTint="33"/>
            <w:vAlign w:val="center"/>
          </w:tcPr>
          <w:p w:rsidR="002C5A37" w:rsidRPr="002C5A37" w:rsidRDefault="002C5A37" w:rsidP="002C5A37">
            <w:pPr>
              <w:ind w:right="29"/>
              <w:jc w:val="center"/>
              <w:rPr>
                <w:b/>
                <w:iCs/>
              </w:rPr>
            </w:pPr>
            <w:r w:rsidRPr="002C5A37">
              <w:rPr>
                <w:b/>
                <w:iCs/>
              </w:rPr>
              <w:t>Bid price as read-out</w:t>
            </w:r>
          </w:p>
        </w:tc>
        <w:tc>
          <w:tcPr>
            <w:tcW w:w="2551" w:type="dxa"/>
            <w:shd w:val="clear" w:color="auto" w:fill="C6D9F1" w:themeFill="text2" w:themeFillTint="33"/>
            <w:vAlign w:val="center"/>
          </w:tcPr>
          <w:p w:rsidR="002C5A37" w:rsidRPr="002C5A37" w:rsidRDefault="002C5A37" w:rsidP="002C5A37">
            <w:pPr>
              <w:jc w:val="center"/>
              <w:rPr>
                <w:b/>
                <w:iCs/>
              </w:rPr>
            </w:pPr>
            <w:r w:rsidRPr="002C5A37">
              <w:rPr>
                <w:b/>
                <w:iCs/>
              </w:rPr>
              <w:t xml:space="preserve">Evaluated Bid price </w:t>
            </w:r>
          </w:p>
          <w:p w:rsidR="002C5A37" w:rsidRPr="002C5A37" w:rsidRDefault="002C5A37" w:rsidP="002C5A37">
            <w:pPr>
              <w:jc w:val="center"/>
              <w:rPr>
                <w:b/>
                <w:iCs/>
              </w:rPr>
            </w:pPr>
            <w:r w:rsidRPr="002C5A37">
              <w:rPr>
                <w:b/>
                <w:iCs/>
              </w:rPr>
              <w:t>(if applicable)</w:t>
            </w:r>
          </w:p>
        </w:tc>
      </w:tr>
      <w:tr w:rsidR="00C207E4" w:rsidRPr="002C5A37" w:rsidTr="00C207E4">
        <w:tc>
          <w:tcPr>
            <w:tcW w:w="4077" w:type="dxa"/>
            <w:vAlign w:val="center"/>
          </w:tcPr>
          <w:p w:rsidR="00C207E4" w:rsidRPr="004A2C5F" w:rsidRDefault="00C207E4" w:rsidP="0032299F">
            <w:proofErr w:type="spellStart"/>
            <w:r w:rsidRPr="00577080">
              <w:t>Aday</w:t>
            </w:r>
            <w:proofErr w:type="spellEnd"/>
            <w:r w:rsidRPr="00577080">
              <w:t xml:space="preserve"> Group</w:t>
            </w:r>
          </w:p>
        </w:tc>
        <w:tc>
          <w:tcPr>
            <w:tcW w:w="2439" w:type="dxa"/>
            <w:vAlign w:val="center"/>
          </w:tcPr>
          <w:p w:rsidR="00C207E4" w:rsidRPr="004A2C5F" w:rsidRDefault="00C207E4" w:rsidP="0032299F">
            <w:pPr>
              <w:pStyle w:val="BodyTextIndent"/>
              <w:spacing w:before="120" w:after="120"/>
              <w:ind w:left="0" w:right="33"/>
              <w:jc w:val="center"/>
              <w:rPr>
                <w:iCs/>
              </w:rPr>
            </w:pPr>
            <w:r>
              <w:rPr>
                <w:iCs/>
              </w:rPr>
              <w:t xml:space="preserve">EUR </w:t>
            </w:r>
            <w:r>
              <w:t>2,237,000.00</w:t>
            </w:r>
          </w:p>
        </w:tc>
        <w:tc>
          <w:tcPr>
            <w:tcW w:w="2551" w:type="dxa"/>
            <w:vAlign w:val="center"/>
          </w:tcPr>
          <w:p w:rsidR="00C207E4" w:rsidRPr="004A2C5F" w:rsidRDefault="00C207E4" w:rsidP="0032299F">
            <w:pPr>
              <w:pStyle w:val="BodyTextIndent"/>
              <w:spacing w:before="120" w:after="120"/>
              <w:ind w:left="0"/>
              <w:jc w:val="center"/>
              <w:rPr>
                <w:iCs/>
              </w:rPr>
            </w:pPr>
            <w:r w:rsidRPr="00577080">
              <w:rPr>
                <w:iCs/>
              </w:rPr>
              <w:t>EUR 2,237,000.00</w:t>
            </w:r>
          </w:p>
        </w:tc>
      </w:tr>
      <w:tr w:rsidR="00C207E4" w:rsidRPr="002C5A37" w:rsidTr="00C207E4">
        <w:tc>
          <w:tcPr>
            <w:tcW w:w="4077" w:type="dxa"/>
            <w:vAlign w:val="center"/>
          </w:tcPr>
          <w:p w:rsidR="00C207E4" w:rsidRPr="004A2C5F" w:rsidRDefault="00C207E4" w:rsidP="0032299F">
            <w:proofErr w:type="spellStart"/>
            <w:r w:rsidRPr="00577080">
              <w:t>Trimaks</w:t>
            </w:r>
            <w:proofErr w:type="spellEnd"/>
            <w:r w:rsidRPr="00577080">
              <w:t xml:space="preserve"> DOO</w:t>
            </w:r>
            <w:r>
              <w:t xml:space="preserve"> Skopje</w:t>
            </w:r>
          </w:p>
        </w:tc>
        <w:tc>
          <w:tcPr>
            <w:tcW w:w="2439" w:type="dxa"/>
            <w:vAlign w:val="center"/>
          </w:tcPr>
          <w:p w:rsidR="00C207E4" w:rsidRPr="004A2C5F" w:rsidRDefault="00C207E4" w:rsidP="0032299F">
            <w:pPr>
              <w:jc w:val="center"/>
            </w:pPr>
            <w:r>
              <w:t>EUR 1,493,311.48</w:t>
            </w:r>
          </w:p>
        </w:tc>
        <w:tc>
          <w:tcPr>
            <w:tcW w:w="2551" w:type="dxa"/>
            <w:vAlign w:val="center"/>
          </w:tcPr>
          <w:p w:rsidR="00C207E4" w:rsidRPr="004A2C5F" w:rsidRDefault="00C207E4" w:rsidP="0032299F">
            <w:pPr>
              <w:jc w:val="center"/>
            </w:pPr>
            <w:r>
              <w:t>N/A</w:t>
            </w:r>
          </w:p>
        </w:tc>
      </w:tr>
      <w:tr w:rsidR="00C207E4" w:rsidRPr="00AA3726" w:rsidTr="00C207E4">
        <w:tc>
          <w:tcPr>
            <w:tcW w:w="4077" w:type="dxa"/>
            <w:vAlign w:val="center"/>
          </w:tcPr>
          <w:p w:rsidR="00C207E4" w:rsidRPr="004A2C5F" w:rsidRDefault="00C207E4" w:rsidP="0032299F">
            <w:proofErr w:type="spellStart"/>
            <w:r w:rsidRPr="00577080">
              <w:t>Biotek</w:t>
            </w:r>
            <w:proofErr w:type="spellEnd"/>
            <w:r w:rsidRPr="00577080">
              <w:t xml:space="preserve"> DOO</w:t>
            </w:r>
            <w:r>
              <w:t xml:space="preserve"> Skopje</w:t>
            </w:r>
          </w:p>
        </w:tc>
        <w:tc>
          <w:tcPr>
            <w:tcW w:w="2439" w:type="dxa"/>
            <w:vAlign w:val="center"/>
          </w:tcPr>
          <w:p w:rsidR="00C207E4" w:rsidRPr="004A2C5F" w:rsidRDefault="00C207E4" w:rsidP="0032299F">
            <w:pPr>
              <w:jc w:val="center"/>
            </w:pPr>
            <w:r>
              <w:t>EUR 16,291,493.02</w:t>
            </w:r>
          </w:p>
        </w:tc>
        <w:tc>
          <w:tcPr>
            <w:tcW w:w="2551" w:type="dxa"/>
            <w:vAlign w:val="center"/>
          </w:tcPr>
          <w:p w:rsidR="00C207E4" w:rsidRPr="0028571D" w:rsidRDefault="00C207E4" w:rsidP="0032299F">
            <w:pPr>
              <w:pStyle w:val="BodyTextIndent"/>
              <w:spacing w:before="120" w:after="120"/>
              <w:ind w:left="0"/>
              <w:jc w:val="center"/>
              <w:rPr>
                <w:iCs/>
              </w:rPr>
            </w:pPr>
            <w:r>
              <w:t>N/A</w:t>
            </w:r>
          </w:p>
        </w:tc>
      </w:tr>
      <w:tr w:rsidR="00C207E4" w:rsidRPr="002C5A37" w:rsidTr="00C207E4">
        <w:tc>
          <w:tcPr>
            <w:tcW w:w="4077" w:type="dxa"/>
            <w:vAlign w:val="center"/>
          </w:tcPr>
          <w:p w:rsidR="00C207E4" w:rsidRPr="004A2C5F" w:rsidRDefault="00C207E4" w:rsidP="0032299F">
            <w:r w:rsidRPr="00577080">
              <w:t>Globe Corporation BV</w:t>
            </w:r>
          </w:p>
        </w:tc>
        <w:tc>
          <w:tcPr>
            <w:tcW w:w="2439" w:type="dxa"/>
            <w:vAlign w:val="center"/>
          </w:tcPr>
          <w:p w:rsidR="00C207E4" w:rsidRPr="004A2C5F" w:rsidRDefault="00C207E4" w:rsidP="0032299F">
            <w:pPr>
              <w:jc w:val="center"/>
            </w:pPr>
            <w:r>
              <w:t>EUR 3,358,975.38</w:t>
            </w:r>
          </w:p>
        </w:tc>
        <w:tc>
          <w:tcPr>
            <w:tcW w:w="2551" w:type="dxa"/>
            <w:vAlign w:val="center"/>
          </w:tcPr>
          <w:p w:rsidR="00C207E4" w:rsidRPr="004A2C5F" w:rsidRDefault="00C207E4" w:rsidP="0032299F">
            <w:pPr>
              <w:pStyle w:val="BodyTextIndent"/>
              <w:spacing w:before="120" w:after="120"/>
              <w:ind w:left="0"/>
              <w:jc w:val="center"/>
              <w:rPr>
                <w:iCs/>
              </w:rPr>
            </w:pPr>
            <w:r>
              <w:t>N/A</w:t>
            </w:r>
          </w:p>
        </w:tc>
      </w:tr>
      <w:tr w:rsidR="00C207E4" w:rsidRPr="002C5A37" w:rsidTr="00C207E4">
        <w:tc>
          <w:tcPr>
            <w:tcW w:w="4077" w:type="dxa"/>
            <w:vAlign w:val="center"/>
          </w:tcPr>
          <w:p w:rsidR="00C207E4" w:rsidRPr="004A2C5F" w:rsidRDefault="00C207E4" w:rsidP="0032299F">
            <w:proofErr w:type="spellStart"/>
            <w:r w:rsidRPr="00577080">
              <w:t>Excelor</w:t>
            </w:r>
            <w:proofErr w:type="spellEnd"/>
            <w:r w:rsidRPr="00577080">
              <w:t xml:space="preserve"> Holding Group LLC</w:t>
            </w:r>
          </w:p>
        </w:tc>
        <w:tc>
          <w:tcPr>
            <w:tcW w:w="2439" w:type="dxa"/>
            <w:vAlign w:val="center"/>
          </w:tcPr>
          <w:p w:rsidR="00C207E4" w:rsidRPr="004A2C5F" w:rsidRDefault="00C207E4" w:rsidP="0032299F">
            <w:pPr>
              <w:jc w:val="center"/>
            </w:pPr>
            <w:r>
              <w:t>EUR 1,174,474.00</w:t>
            </w:r>
          </w:p>
        </w:tc>
        <w:tc>
          <w:tcPr>
            <w:tcW w:w="2551" w:type="dxa"/>
            <w:vAlign w:val="center"/>
          </w:tcPr>
          <w:p w:rsidR="00C207E4" w:rsidRPr="004A2C5F" w:rsidRDefault="00C207E4" w:rsidP="0032299F">
            <w:pPr>
              <w:pStyle w:val="BodyTextIndent"/>
              <w:spacing w:before="120" w:after="120"/>
              <w:ind w:left="0"/>
              <w:jc w:val="center"/>
              <w:rPr>
                <w:iCs/>
              </w:rPr>
            </w:pPr>
            <w:r>
              <w:t>N/A</w:t>
            </w:r>
          </w:p>
        </w:tc>
      </w:tr>
      <w:tr w:rsidR="00C207E4" w:rsidRPr="002C5A37" w:rsidTr="00C207E4">
        <w:tc>
          <w:tcPr>
            <w:tcW w:w="4077" w:type="dxa"/>
            <w:vAlign w:val="center"/>
          </w:tcPr>
          <w:p w:rsidR="00C207E4" w:rsidRPr="002C5A37" w:rsidRDefault="00C207E4" w:rsidP="002C5A37">
            <w:r>
              <w:t>(</w:t>
            </w:r>
            <w:r w:rsidRPr="00C207E4">
              <w:t>joint ve</w:t>
            </w:r>
            <w:r>
              <w:t xml:space="preserve">nture) </w:t>
            </w:r>
            <w:proofErr w:type="spellStart"/>
            <w:r>
              <w:t>Davka</w:t>
            </w:r>
            <w:proofErr w:type="spellEnd"/>
            <w:r>
              <w:t xml:space="preserve"> DOOEL </w:t>
            </w:r>
            <w:proofErr w:type="spellStart"/>
            <w:r>
              <w:t>Stip</w:t>
            </w:r>
            <w:proofErr w:type="spellEnd"/>
            <w:r>
              <w:t xml:space="preserve"> </w:t>
            </w:r>
            <w:r w:rsidRPr="00C207E4">
              <w:t>and</w:t>
            </w:r>
            <w:r>
              <w:t xml:space="preserve"> </w:t>
            </w:r>
            <w:proofErr w:type="spellStart"/>
            <w:r>
              <w:t>Zotebros</w:t>
            </w:r>
            <w:proofErr w:type="spellEnd"/>
            <w:r>
              <w:t xml:space="preserve"> DOOEL Skopje </w:t>
            </w:r>
          </w:p>
        </w:tc>
        <w:tc>
          <w:tcPr>
            <w:tcW w:w="2439" w:type="dxa"/>
            <w:vAlign w:val="center"/>
          </w:tcPr>
          <w:p w:rsidR="00C207E4" w:rsidRDefault="00C207E4" w:rsidP="00C207E4">
            <w:pPr>
              <w:pStyle w:val="BodyTextIndent"/>
              <w:spacing w:before="120" w:after="120"/>
              <w:ind w:left="0"/>
              <w:jc w:val="center"/>
              <w:rPr>
                <w:iCs/>
              </w:rPr>
            </w:pPr>
            <w:r>
              <w:rPr>
                <w:iCs/>
              </w:rPr>
              <w:t xml:space="preserve">MKD </w:t>
            </w:r>
            <w:r w:rsidRPr="00577080">
              <w:rPr>
                <w:iCs/>
              </w:rPr>
              <w:t>82,359,971.17</w:t>
            </w:r>
          </w:p>
          <w:p w:rsidR="00C207E4" w:rsidRPr="002C5A37" w:rsidRDefault="00C207E4" w:rsidP="002C5A37">
            <w:pPr>
              <w:jc w:val="center"/>
            </w:pPr>
          </w:p>
        </w:tc>
        <w:tc>
          <w:tcPr>
            <w:tcW w:w="2551" w:type="dxa"/>
          </w:tcPr>
          <w:p w:rsidR="00C207E4" w:rsidRPr="009E5E9F" w:rsidRDefault="00C207E4" w:rsidP="00C207E4">
            <w:pPr>
              <w:jc w:val="center"/>
            </w:pPr>
            <w:r w:rsidRPr="00C207E4">
              <w:t xml:space="preserve">EUR </w:t>
            </w:r>
            <w:r w:rsidRPr="009E5E9F">
              <w:t>1,332,631.71</w:t>
            </w:r>
          </w:p>
        </w:tc>
      </w:tr>
    </w:tbl>
    <w:p w:rsidR="002C5A37" w:rsidRPr="00AA3726" w:rsidRDefault="002C5A37" w:rsidP="002C5A37">
      <w:pPr>
        <w:rPr>
          <w:rFonts w:ascii="Times New Roman" w:hAnsi="Times New Roman" w:cs="Times New Roman"/>
          <w:sz w:val="24"/>
          <w:szCs w:val="24"/>
        </w:rPr>
      </w:pPr>
    </w:p>
    <w:p w:rsidR="002C5A37" w:rsidRPr="00AA3726" w:rsidRDefault="002C5A37" w:rsidP="002C5A37">
      <w:pPr>
        <w:rPr>
          <w:rFonts w:ascii="Times New Roman" w:hAnsi="Times New Roman" w:cs="Times New Roman"/>
          <w:sz w:val="24"/>
          <w:szCs w:val="24"/>
        </w:rPr>
      </w:pPr>
      <w:r w:rsidRPr="00AA3726">
        <w:rPr>
          <w:rFonts w:ascii="Times New Roman" w:hAnsi="Times New Roman" w:cs="Times New Roman"/>
          <w:sz w:val="24"/>
          <w:szCs w:val="24"/>
        </w:rPr>
        <w:t xml:space="preserve">2. Bidders </w:t>
      </w:r>
      <w:proofErr w:type="gramStart"/>
      <w:r w:rsidRPr="00AA3726">
        <w:rPr>
          <w:rFonts w:ascii="Times New Roman" w:hAnsi="Times New Roman" w:cs="Times New Roman"/>
          <w:sz w:val="24"/>
          <w:szCs w:val="24"/>
        </w:rPr>
        <w:t>whose</w:t>
      </w:r>
      <w:proofErr w:type="gramEnd"/>
      <w:r w:rsidRPr="00AA3726">
        <w:rPr>
          <w:rFonts w:ascii="Times New Roman" w:hAnsi="Times New Roman" w:cs="Times New Roman"/>
          <w:sz w:val="24"/>
          <w:szCs w:val="24"/>
        </w:rPr>
        <w:t xml:space="preserve"> Bids were rejected or not evaluated</w:t>
      </w:r>
    </w:p>
    <w:tbl>
      <w:tblPr>
        <w:tblStyle w:val="TableGrid"/>
        <w:tblW w:w="9067" w:type="dxa"/>
        <w:tblLook w:val="04A0" w:firstRow="1" w:lastRow="0" w:firstColumn="1" w:lastColumn="0" w:noHBand="0" w:noVBand="1"/>
      </w:tblPr>
      <w:tblGrid>
        <w:gridCol w:w="2943"/>
        <w:gridCol w:w="6124"/>
      </w:tblGrid>
      <w:tr w:rsidR="002C5A37" w:rsidRPr="00AA3726" w:rsidTr="00E6317A">
        <w:tc>
          <w:tcPr>
            <w:tcW w:w="2943" w:type="dxa"/>
            <w:shd w:val="clear" w:color="auto" w:fill="C6D9F1" w:themeFill="text2" w:themeFillTint="33"/>
            <w:vAlign w:val="center"/>
          </w:tcPr>
          <w:p w:rsidR="002C5A37" w:rsidRPr="002C5A37" w:rsidRDefault="002C5A37" w:rsidP="00DF3E36">
            <w:pPr>
              <w:spacing w:before="60" w:after="60"/>
              <w:ind w:right="33"/>
              <w:jc w:val="center"/>
              <w:rPr>
                <w:b/>
                <w:iCs/>
              </w:rPr>
            </w:pPr>
            <w:r w:rsidRPr="002C5A37">
              <w:rPr>
                <w:b/>
                <w:iCs/>
              </w:rPr>
              <w:t>Name of Bidder</w:t>
            </w:r>
          </w:p>
        </w:tc>
        <w:tc>
          <w:tcPr>
            <w:tcW w:w="6124" w:type="dxa"/>
            <w:shd w:val="clear" w:color="auto" w:fill="C6D9F1" w:themeFill="text2" w:themeFillTint="33"/>
            <w:vAlign w:val="center"/>
          </w:tcPr>
          <w:p w:rsidR="002C5A37" w:rsidRPr="002C5A37" w:rsidRDefault="002C5A37" w:rsidP="00DF3E36">
            <w:pPr>
              <w:jc w:val="center"/>
              <w:rPr>
                <w:b/>
                <w:iCs/>
              </w:rPr>
            </w:pPr>
            <w:r w:rsidRPr="00AA3726">
              <w:rPr>
                <w:b/>
                <w:iCs/>
              </w:rPr>
              <w:t>Reasons for rejection</w:t>
            </w:r>
          </w:p>
        </w:tc>
      </w:tr>
      <w:tr w:rsidR="00C207E4" w:rsidRPr="00AA3726" w:rsidTr="00E6317A">
        <w:tc>
          <w:tcPr>
            <w:tcW w:w="2943" w:type="dxa"/>
            <w:vAlign w:val="center"/>
          </w:tcPr>
          <w:p w:rsidR="00C207E4" w:rsidRPr="004A2C5F" w:rsidRDefault="00C207E4" w:rsidP="0032299F">
            <w:proofErr w:type="spellStart"/>
            <w:r w:rsidRPr="00577080">
              <w:t>Trimaks</w:t>
            </w:r>
            <w:proofErr w:type="spellEnd"/>
            <w:r w:rsidRPr="00577080">
              <w:t xml:space="preserve"> DOO</w:t>
            </w:r>
            <w:r>
              <w:t xml:space="preserve"> Skopje</w:t>
            </w:r>
          </w:p>
        </w:tc>
        <w:tc>
          <w:tcPr>
            <w:tcW w:w="6124" w:type="dxa"/>
            <w:vAlign w:val="center"/>
          </w:tcPr>
          <w:p w:rsidR="00C207E4" w:rsidRPr="002C5A37" w:rsidRDefault="00C207E4" w:rsidP="002C5A37">
            <w:pPr>
              <w:spacing w:before="120" w:after="120"/>
              <w:jc w:val="both"/>
              <w:rPr>
                <w:iCs/>
              </w:rPr>
            </w:pPr>
            <w:r>
              <w:rPr>
                <w:iCs/>
              </w:rPr>
              <w:t>The</w:t>
            </w:r>
            <w:r w:rsidRPr="00C207E4">
              <w:rPr>
                <w:iCs/>
              </w:rPr>
              <w:t xml:space="preserve"> Bid has not been prepared in accordance with ITB 11, i.e. no documentary evidence for conformity of the goods to the requirements of the bidding documents has been submitted. There is no possibility to determine technical responsiveness of this bid, since technical or other data on any of the products offered have been omitted. Based on the above and pursuant to ITB 29.4 the Bid has been rejected as not substantially responsive.</w:t>
            </w:r>
          </w:p>
        </w:tc>
      </w:tr>
      <w:tr w:rsidR="00C207E4" w:rsidRPr="00AA3726" w:rsidTr="00E6317A">
        <w:tc>
          <w:tcPr>
            <w:tcW w:w="2943" w:type="dxa"/>
            <w:vAlign w:val="center"/>
          </w:tcPr>
          <w:p w:rsidR="00C207E4" w:rsidRPr="004A2C5F" w:rsidRDefault="00C207E4" w:rsidP="0032299F">
            <w:proofErr w:type="spellStart"/>
            <w:r w:rsidRPr="00577080">
              <w:lastRenderedPageBreak/>
              <w:t>Biotek</w:t>
            </w:r>
            <w:proofErr w:type="spellEnd"/>
            <w:r w:rsidRPr="00577080">
              <w:t xml:space="preserve"> DOO</w:t>
            </w:r>
            <w:r>
              <w:t xml:space="preserve"> Skopje</w:t>
            </w:r>
          </w:p>
        </w:tc>
        <w:tc>
          <w:tcPr>
            <w:tcW w:w="6124" w:type="dxa"/>
            <w:vAlign w:val="center"/>
          </w:tcPr>
          <w:p w:rsidR="00C207E4" w:rsidRPr="002C5A37" w:rsidRDefault="00C207E4" w:rsidP="00E2623C">
            <w:pPr>
              <w:spacing w:before="120" w:after="120"/>
              <w:jc w:val="both"/>
              <w:rPr>
                <w:iCs/>
              </w:rPr>
            </w:pPr>
            <w:r>
              <w:rPr>
                <w:iCs/>
              </w:rPr>
              <w:t>The</w:t>
            </w:r>
            <w:r w:rsidRPr="00C207E4">
              <w:rPr>
                <w:iCs/>
              </w:rPr>
              <w:t xml:space="preserve"> Bid has not been prepared in accordance with ITB 11, i.e. no documentary evidence for conformity of the goods to the requirements of the bidding documents has been submitted. There is no possibility to determine technical responsiveness of this bid, since technical or other data on any of the products offered have been omitted. Based on the above and pursuant to ITB 29.4 the Bid has been rejected as not substantially responsive.</w:t>
            </w:r>
          </w:p>
        </w:tc>
      </w:tr>
      <w:tr w:rsidR="00C207E4" w:rsidRPr="00AA3726" w:rsidTr="00E6317A">
        <w:tc>
          <w:tcPr>
            <w:tcW w:w="2943" w:type="dxa"/>
            <w:vAlign w:val="center"/>
          </w:tcPr>
          <w:p w:rsidR="00C207E4" w:rsidRPr="004A2C5F" w:rsidRDefault="00C207E4" w:rsidP="0032299F">
            <w:r w:rsidRPr="00577080">
              <w:t>Globe Corporation BV</w:t>
            </w:r>
          </w:p>
        </w:tc>
        <w:tc>
          <w:tcPr>
            <w:tcW w:w="6124" w:type="dxa"/>
            <w:vAlign w:val="center"/>
          </w:tcPr>
          <w:p w:rsidR="00C207E4" w:rsidRPr="002C5A37" w:rsidRDefault="00C207E4" w:rsidP="00E2623C">
            <w:pPr>
              <w:spacing w:before="120" w:after="120"/>
              <w:jc w:val="both"/>
              <w:rPr>
                <w:iCs/>
              </w:rPr>
            </w:pPr>
            <w:r w:rsidRPr="00C207E4">
              <w:rPr>
                <w:iCs/>
              </w:rPr>
              <w:t>The bid security has been determined to be with material deviation, since it is not in original form, which, as stated in ITB 29.2, if accepted would limit in a substantial way the Purchaser’s rights. Pursuant to ITB 19.4 the Bid has been rejected as not substantially responsive.</w:t>
            </w:r>
          </w:p>
        </w:tc>
      </w:tr>
      <w:tr w:rsidR="00C207E4" w:rsidRPr="00AA3726" w:rsidTr="00E6317A">
        <w:tc>
          <w:tcPr>
            <w:tcW w:w="2943" w:type="dxa"/>
            <w:vAlign w:val="center"/>
          </w:tcPr>
          <w:p w:rsidR="00C207E4" w:rsidRPr="004A2C5F" w:rsidRDefault="00C207E4" w:rsidP="0032299F">
            <w:proofErr w:type="spellStart"/>
            <w:r w:rsidRPr="00577080">
              <w:t>Excelor</w:t>
            </w:r>
            <w:proofErr w:type="spellEnd"/>
            <w:r w:rsidRPr="00577080">
              <w:t xml:space="preserve"> Holding Group LLC</w:t>
            </w:r>
          </w:p>
        </w:tc>
        <w:tc>
          <w:tcPr>
            <w:tcW w:w="6124" w:type="dxa"/>
            <w:vAlign w:val="center"/>
          </w:tcPr>
          <w:p w:rsidR="00C207E4" w:rsidRPr="002C5A37" w:rsidRDefault="00C207E4" w:rsidP="00E6317A">
            <w:pPr>
              <w:spacing w:before="120" w:after="120"/>
              <w:jc w:val="both"/>
              <w:rPr>
                <w:iCs/>
              </w:rPr>
            </w:pPr>
            <w:r w:rsidRPr="00C207E4">
              <w:rPr>
                <w:iCs/>
              </w:rPr>
              <w:t>The technical aspects of the bid have been evaluated with material deviations and omissions. The Bid security which is issued by a non-bank financial institution located outside of Purchaser’s country has been found to be with material deviation, since it is not accompanied with evidence and commitment by the local corresponding financial institutions. Pursuant to 19.4 and 29.4 the Bid has been rejected as not substantially responsive.</w:t>
            </w:r>
          </w:p>
        </w:tc>
      </w:tr>
    </w:tbl>
    <w:p w:rsidR="00E6317A" w:rsidRDefault="00E6317A" w:rsidP="002C5A37">
      <w:pPr>
        <w:rPr>
          <w:rFonts w:ascii="Times New Roman" w:hAnsi="Times New Roman" w:cs="Times New Roman"/>
          <w:sz w:val="24"/>
          <w:szCs w:val="24"/>
        </w:rPr>
      </w:pPr>
    </w:p>
    <w:p w:rsidR="00E2623C" w:rsidRPr="00AA3726" w:rsidRDefault="00E2623C" w:rsidP="002C5A37">
      <w:pPr>
        <w:rPr>
          <w:rFonts w:ascii="Times New Roman" w:hAnsi="Times New Roman" w:cs="Times New Roman"/>
          <w:sz w:val="24"/>
          <w:szCs w:val="24"/>
        </w:rPr>
      </w:pPr>
      <w:r w:rsidRPr="00AA3726">
        <w:rPr>
          <w:rFonts w:ascii="Times New Roman" w:hAnsi="Times New Roman" w:cs="Times New Roman"/>
          <w:sz w:val="24"/>
          <w:szCs w:val="24"/>
        </w:rPr>
        <w:t>3. S</w:t>
      </w:r>
      <w:r w:rsidR="002C5A37" w:rsidRPr="00AA3726">
        <w:rPr>
          <w:rFonts w:ascii="Times New Roman" w:hAnsi="Times New Roman" w:cs="Times New Roman"/>
          <w:sz w:val="24"/>
          <w:szCs w:val="24"/>
        </w:rPr>
        <w:t>uccessful Bidder</w:t>
      </w:r>
    </w:p>
    <w:tbl>
      <w:tblPr>
        <w:tblStyle w:val="TableGrid"/>
        <w:tblW w:w="9067" w:type="dxa"/>
        <w:tblLayout w:type="fixed"/>
        <w:tblLook w:val="04A0" w:firstRow="1" w:lastRow="0" w:firstColumn="1" w:lastColumn="0" w:noHBand="0" w:noVBand="1"/>
      </w:tblPr>
      <w:tblGrid>
        <w:gridCol w:w="2122"/>
        <w:gridCol w:w="6945"/>
      </w:tblGrid>
      <w:tr w:rsidR="00E6317A" w:rsidRPr="00AA3726" w:rsidTr="00DF3E36">
        <w:tc>
          <w:tcPr>
            <w:tcW w:w="2122" w:type="dxa"/>
            <w:shd w:val="clear" w:color="auto" w:fill="C6D9F1" w:themeFill="text2" w:themeFillTint="33"/>
          </w:tcPr>
          <w:p w:rsidR="00E6317A" w:rsidRPr="00AA3726" w:rsidRDefault="00E6317A" w:rsidP="00DF3E36">
            <w:pPr>
              <w:pStyle w:val="BodyTextIndent"/>
              <w:spacing w:before="120" w:after="120"/>
              <w:ind w:left="0"/>
              <w:jc w:val="left"/>
              <w:rPr>
                <w:b/>
                <w:iCs/>
                <w:lang w:val="mk-MK"/>
              </w:rPr>
            </w:pPr>
            <w:r w:rsidRPr="00AA3726">
              <w:rPr>
                <w:b/>
                <w:iCs/>
              </w:rPr>
              <w:t>Name of Bidder:</w:t>
            </w:r>
          </w:p>
        </w:tc>
        <w:tc>
          <w:tcPr>
            <w:tcW w:w="6945" w:type="dxa"/>
            <w:vAlign w:val="center"/>
          </w:tcPr>
          <w:p w:rsidR="00E6317A" w:rsidRPr="004A2C5F" w:rsidRDefault="00E6317A" w:rsidP="0032299F">
            <w:pPr>
              <w:pStyle w:val="BodyTextIndent"/>
              <w:spacing w:before="120" w:after="120"/>
              <w:ind w:left="0"/>
              <w:jc w:val="left"/>
              <w:rPr>
                <w:iCs/>
              </w:rPr>
            </w:pPr>
            <w:r>
              <w:rPr>
                <w:iCs/>
              </w:rPr>
              <w:t xml:space="preserve">joint venture </w:t>
            </w:r>
            <w:proofErr w:type="spellStart"/>
            <w:r w:rsidRPr="00577080">
              <w:rPr>
                <w:iCs/>
              </w:rPr>
              <w:t>Davka</w:t>
            </w:r>
            <w:proofErr w:type="spellEnd"/>
            <w:r w:rsidRPr="00577080">
              <w:rPr>
                <w:iCs/>
              </w:rPr>
              <w:t xml:space="preserve"> DOOEL </w:t>
            </w:r>
            <w:proofErr w:type="spellStart"/>
            <w:r w:rsidRPr="00577080">
              <w:rPr>
                <w:iCs/>
              </w:rPr>
              <w:t>Stip</w:t>
            </w:r>
            <w:proofErr w:type="spellEnd"/>
            <w:r w:rsidRPr="00577080">
              <w:rPr>
                <w:iCs/>
              </w:rPr>
              <w:t xml:space="preserve"> </w:t>
            </w:r>
            <w:r>
              <w:rPr>
                <w:iCs/>
              </w:rPr>
              <w:t xml:space="preserve">(leader) </w:t>
            </w:r>
            <w:r w:rsidRPr="00577080">
              <w:rPr>
                <w:iCs/>
              </w:rPr>
              <w:t xml:space="preserve">and </w:t>
            </w:r>
            <w:proofErr w:type="spellStart"/>
            <w:r w:rsidRPr="00577080">
              <w:rPr>
                <w:iCs/>
              </w:rPr>
              <w:t>Zotebros</w:t>
            </w:r>
            <w:proofErr w:type="spellEnd"/>
            <w:r w:rsidRPr="00577080">
              <w:rPr>
                <w:iCs/>
              </w:rPr>
              <w:t xml:space="preserve"> DOOEL Skopje (</w:t>
            </w:r>
            <w:r>
              <w:rPr>
                <w:iCs/>
              </w:rPr>
              <w:t>partner</w:t>
            </w:r>
            <w:r w:rsidRPr="00577080">
              <w:rPr>
                <w:iCs/>
              </w:rPr>
              <w:t>)</w:t>
            </w:r>
          </w:p>
        </w:tc>
      </w:tr>
      <w:tr w:rsidR="00E6317A" w:rsidRPr="00AA3726" w:rsidTr="00DF3E36">
        <w:tc>
          <w:tcPr>
            <w:tcW w:w="2122" w:type="dxa"/>
            <w:shd w:val="clear" w:color="auto" w:fill="C6D9F1" w:themeFill="text2" w:themeFillTint="33"/>
          </w:tcPr>
          <w:p w:rsidR="00E6317A" w:rsidRPr="00AA3726" w:rsidRDefault="00E6317A" w:rsidP="00DF3E36">
            <w:pPr>
              <w:pStyle w:val="BodyTextIndent"/>
              <w:spacing w:before="120" w:after="120"/>
              <w:ind w:left="0"/>
              <w:jc w:val="left"/>
              <w:rPr>
                <w:b/>
                <w:iCs/>
              </w:rPr>
            </w:pPr>
            <w:r w:rsidRPr="00AA3726">
              <w:rPr>
                <w:b/>
                <w:iCs/>
              </w:rPr>
              <w:t>Address</w:t>
            </w:r>
            <w:r>
              <w:rPr>
                <w:b/>
                <w:iCs/>
              </w:rPr>
              <w:t xml:space="preserve"> (leader)</w:t>
            </w:r>
            <w:r w:rsidRPr="00AA3726">
              <w:rPr>
                <w:b/>
                <w:iCs/>
              </w:rPr>
              <w:t>:</w:t>
            </w:r>
          </w:p>
        </w:tc>
        <w:tc>
          <w:tcPr>
            <w:tcW w:w="6945" w:type="dxa"/>
            <w:vAlign w:val="center"/>
          </w:tcPr>
          <w:p w:rsidR="00E6317A" w:rsidRPr="004A2C5F" w:rsidRDefault="00E6317A" w:rsidP="0032299F">
            <w:pPr>
              <w:pStyle w:val="BodyTextIndent"/>
              <w:spacing w:before="120" w:after="120"/>
              <w:ind w:left="0"/>
              <w:jc w:val="left"/>
              <w:rPr>
                <w:iCs/>
              </w:rPr>
            </w:pPr>
            <w:proofErr w:type="spellStart"/>
            <w:r w:rsidRPr="00577080">
              <w:rPr>
                <w:iCs/>
              </w:rPr>
              <w:t>Sirok</w:t>
            </w:r>
            <w:proofErr w:type="spellEnd"/>
            <w:r w:rsidRPr="00577080">
              <w:rPr>
                <w:iCs/>
              </w:rPr>
              <w:t xml:space="preserve"> doll br.40, </w:t>
            </w:r>
            <w:proofErr w:type="spellStart"/>
            <w:r w:rsidRPr="00577080">
              <w:rPr>
                <w:iCs/>
              </w:rPr>
              <w:t>Stip</w:t>
            </w:r>
            <w:proofErr w:type="spellEnd"/>
            <w:r w:rsidRPr="00577080">
              <w:rPr>
                <w:iCs/>
              </w:rPr>
              <w:t>, Republic of North Macedonia</w:t>
            </w:r>
          </w:p>
        </w:tc>
      </w:tr>
      <w:tr w:rsidR="00E6317A" w:rsidRPr="00AA3726" w:rsidTr="009117FD">
        <w:tc>
          <w:tcPr>
            <w:tcW w:w="2122" w:type="dxa"/>
            <w:shd w:val="clear" w:color="auto" w:fill="C6D9F1" w:themeFill="text2" w:themeFillTint="33"/>
          </w:tcPr>
          <w:p w:rsidR="00E6317A" w:rsidRPr="00AA3726" w:rsidRDefault="00E6317A" w:rsidP="00DF3E36">
            <w:pPr>
              <w:pStyle w:val="BodyTextIndent"/>
              <w:spacing w:before="120" w:after="120"/>
              <w:ind w:left="0"/>
              <w:jc w:val="left"/>
              <w:rPr>
                <w:b/>
                <w:iCs/>
              </w:rPr>
            </w:pPr>
            <w:r w:rsidRPr="00AA3726">
              <w:rPr>
                <w:b/>
                <w:iCs/>
              </w:rPr>
              <w:t>Final total contract price:</w:t>
            </w:r>
          </w:p>
        </w:tc>
        <w:tc>
          <w:tcPr>
            <w:tcW w:w="6945" w:type="dxa"/>
          </w:tcPr>
          <w:p w:rsidR="00E6317A" w:rsidRPr="00E6317A" w:rsidRDefault="00E6317A" w:rsidP="0032299F">
            <w:pPr>
              <w:pStyle w:val="BodyTextIndent"/>
              <w:ind w:left="0"/>
              <w:rPr>
                <w:iCs/>
              </w:rPr>
            </w:pPr>
            <w:r>
              <w:rPr>
                <w:iCs/>
              </w:rPr>
              <w:t xml:space="preserve">MKD </w:t>
            </w:r>
            <w:r w:rsidRPr="00F351FB">
              <w:rPr>
                <w:iCs/>
                <w:lang w:val="mk-MK"/>
              </w:rPr>
              <w:t>101,071,415.03</w:t>
            </w:r>
            <w:r>
              <w:rPr>
                <w:iCs/>
              </w:rPr>
              <w:t xml:space="preserve"> inclusive of </w:t>
            </w:r>
            <w:r w:rsidRPr="00E6317A">
              <w:rPr>
                <w:iCs/>
              </w:rPr>
              <w:t>customs duties and other import taxes levied on the imported Goods, sales and other similar taxes, which will be payable on the Goods</w:t>
            </w:r>
          </w:p>
          <w:p w:rsidR="00E6317A" w:rsidRPr="00E6317A" w:rsidRDefault="00E6317A" w:rsidP="0032299F">
            <w:pPr>
              <w:pStyle w:val="BodyTextIndent"/>
              <w:ind w:left="0"/>
              <w:rPr>
                <w:iCs/>
              </w:rPr>
            </w:pPr>
          </w:p>
        </w:tc>
      </w:tr>
      <w:tr w:rsidR="00E6317A" w:rsidRPr="00AA3726" w:rsidTr="00DF3E36">
        <w:tc>
          <w:tcPr>
            <w:tcW w:w="2122" w:type="dxa"/>
            <w:shd w:val="clear" w:color="auto" w:fill="C6D9F1" w:themeFill="text2" w:themeFillTint="33"/>
          </w:tcPr>
          <w:p w:rsidR="00E6317A" w:rsidRPr="00AA3726" w:rsidRDefault="00E6317A" w:rsidP="00DF3E36">
            <w:pPr>
              <w:pStyle w:val="BodyTextIndent"/>
              <w:spacing w:before="120" w:after="120"/>
              <w:ind w:left="0"/>
              <w:jc w:val="left"/>
              <w:rPr>
                <w:b/>
                <w:iCs/>
                <w:lang w:val="mk-MK"/>
              </w:rPr>
            </w:pPr>
            <w:r w:rsidRPr="00AA3726">
              <w:rPr>
                <w:b/>
                <w:iCs/>
              </w:rPr>
              <w:t>C</w:t>
            </w:r>
            <w:r w:rsidRPr="00AA3726">
              <w:rPr>
                <w:b/>
                <w:iCs/>
                <w:lang w:val="mk-MK"/>
              </w:rPr>
              <w:t>ontract duration</w:t>
            </w:r>
          </w:p>
        </w:tc>
        <w:tc>
          <w:tcPr>
            <w:tcW w:w="6945" w:type="dxa"/>
            <w:vAlign w:val="center"/>
          </w:tcPr>
          <w:p w:rsidR="00E6317A" w:rsidRPr="00AA3726" w:rsidRDefault="00E6317A" w:rsidP="00E2623C">
            <w:pPr>
              <w:pStyle w:val="BodyTextIndent"/>
              <w:spacing w:before="120" w:after="120"/>
              <w:ind w:left="0"/>
              <w:jc w:val="left"/>
              <w:rPr>
                <w:iCs/>
                <w:lang w:val="mk-MK"/>
              </w:rPr>
            </w:pPr>
            <w:r>
              <w:rPr>
                <w:iCs/>
              </w:rPr>
              <w:t>1</w:t>
            </w:r>
            <w:r w:rsidRPr="00AA3726">
              <w:rPr>
                <w:iCs/>
              </w:rPr>
              <w:t>20 days</w:t>
            </w:r>
          </w:p>
        </w:tc>
      </w:tr>
      <w:tr w:rsidR="00E6317A" w:rsidRPr="00AA3726" w:rsidTr="00DF3E36">
        <w:tc>
          <w:tcPr>
            <w:tcW w:w="2122" w:type="dxa"/>
            <w:shd w:val="clear" w:color="auto" w:fill="C6D9F1" w:themeFill="text2" w:themeFillTint="33"/>
          </w:tcPr>
          <w:p w:rsidR="00E6317A" w:rsidRPr="00AA3726" w:rsidRDefault="00E6317A" w:rsidP="005A4EE3">
            <w:pPr>
              <w:pStyle w:val="BodyTextIndent"/>
              <w:spacing w:before="120" w:after="120"/>
              <w:ind w:left="0"/>
              <w:jc w:val="left"/>
              <w:rPr>
                <w:b/>
                <w:iCs/>
                <w:lang w:val="mk-MK"/>
              </w:rPr>
            </w:pPr>
            <w:r w:rsidRPr="00AA3726">
              <w:rPr>
                <w:b/>
                <w:iCs/>
              </w:rPr>
              <w:t>S</w:t>
            </w:r>
            <w:r w:rsidRPr="00AA3726">
              <w:rPr>
                <w:b/>
                <w:iCs/>
                <w:lang w:val="mk-MK"/>
              </w:rPr>
              <w:t xml:space="preserve">ummary of </w:t>
            </w:r>
            <w:r w:rsidRPr="00AA3726">
              <w:rPr>
                <w:b/>
                <w:iCs/>
              </w:rPr>
              <w:t>contract</w:t>
            </w:r>
            <w:r w:rsidRPr="00AA3726">
              <w:rPr>
                <w:b/>
                <w:iCs/>
                <w:lang w:val="mk-MK"/>
              </w:rPr>
              <w:t xml:space="preserve"> scope</w:t>
            </w:r>
          </w:p>
        </w:tc>
        <w:tc>
          <w:tcPr>
            <w:tcW w:w="6945" w:type="dxa"/>
            <w:vAlign w:val="center"/>
          </w:tcPr>
          <w:p w:rsidR="00E6317A" w:rsidRPr="00AA3726" w:rsidRDefault="00E6317A" w:rsidP="00E6317A">
            <w:pPr>
              <w:pStyle w:val="BodyTextIndent"/>
              <w:spacing w:before="120" w:after="120"/>
              <w:ind w:left="0"/>
              <w:jc w:val="left"/>
              <w:rPr>
                <w:iCs/>
              </w:rPr>
            </w:pPr>
            <w:r w:rsidRPr="00AA3726">
              <w:rPr>
                <w:iCs/>
              </w:rPr>
              <w:t xml:space="preserve">Supply and delivery of </w:t>
            </w:r>
            <w:r>
              <w:rPr>
                <w:iCs/>
              </w:rPr>
              <w:t xml:space="preserve">equipment and other teaching and learning materials for mathematics, physics, biology and chemistry subject areas for the </w:t>
            </w:r>
            <w:r w:rsidRPr="00AA3726">
              <w:rPr>
                <w:iCs/>
              </w:rPr>
              <w:t>primary schools</w:t>
            </w:r>
            <w:r>
              <w:rPr>
                <w:iCs/>
              </w:rPr>
              <w:t xml:space="preserve"> in North Macedonia.</w:t>
            </w:r>
          </w:p>
        </w:tc>
      </w:tr>
    </w:tbl>
    <w:p w:rsidR="00E2623C" w:rsidRPr="00AA3726" w:rsidRDefault="00E2623C" w:rsidP="002C5A37">
      <w:pPr>
        <w:rPr>
          <w:rFonts w:ascii="Times New Roman" w:hAnsi="Times New Roman" w:cs="Times New Roman"/>
          <w:sz w:val="24"/>
          <w:szCs w:val="24"/>
        </w:rPr>
      </w:pPr>
    </w:p>
    <w:p w:rsidR="002C5A37" w:rsidRDefault="00AA3726" w:rsidP="002C5A37">
      <w:pPr>
        <w:rPr>
          <w:rFonts w:ascii="Times New Roman" w:hAnsi="Times New Roman" w:cs="Times New Roman"/>
          <w:sz w:val="24"/>
          <w:szCs w:val="24"/>
        </w:rPr>
      </w:pPr>
      <w:r w:rsidRPr="00AA3726">
        <w:rPr>
          <w:rFonts w:ascii="Times New Roman" w:hAnsi="Times New Roman" w:cs="Times New Roman"/>
          <w:sz w:val="24"/>
          <w:szCs w:val="24"/>
        </w:rPr>
        <w:t>4. S</w:t>
      </w:r>
      <w:r w:rsidR="002C5A37" w:rsidRPr="00AA3726">
        <w:rPr>
          <w:rFonts w:ascii="Times New Roman" w:hAnsi="Times New Roman" w:cs="Times New Roman"/>
          <w:sz w:val="24"/>
          <w:szCs w:val="24"/>
        </w:rPr>
        <w:t>uccessful Bidder’s Benef</w:t>
      </w:r>
      <w:r w:rsidRPr="00AA3726">
        <w:rPr>
          <w:rFonts w:ascii="Times New Roman" w:hAnsi="Times New Roman" w:cs="Times New Roman"/>
          <w:sz w:val="24"/>
          <w:szCs w:val="24"/>
        </w:rPr>
        <w:t>icial Ownership Disclosure Form</w:t>
      </w:r>
    </w:p>
    <w:p w:rsidR="00AA3726" w:rsidRDefault="00AA3726" w:rsidP="002C5A37">
      <w:pPr>
        <w:rPr>
          <w:rFonts w:ascii="Times New Roman" w:hAnsi="Times New Roman" w:cs="Times New Roman"/>
          <w:sz w:val="24"/>
          <w:szCs w:val="24"/>
        </w:rPr>
      </w:pPr>
    </w:p>
    <w:p w:rsidR="00AA3726" w:rsidRDefault="00E6317A" w:rsidP="002C5A3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40020" cy="822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eficial ownership Davk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40020" cy="8229600"/>
                    </a:xfrm>
                    <a:prstGeom prst="rect">
                      <a:avLst/>
                    </a:prstGeom>
                  </pic:spPr>
                </pic:pic>
              </a:graphicData>
            </a:graphic>
          </wp:inline>
        </w:drawing>
      </w:r>
    </w:p>
    <w:p w:rsidR="00AA3726" w:rsidRDefault="00E6317A" w:rsidP="002C5A37">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297170"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eficial ownership Zotebr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97170" cy="8229600"/>
                    </a:xfrm>
                    <a:prstGeom prst="rect">
                      <a:avLst/>
                    </a:prstGeom>
                  </pic:spPr>
                </pic:pic>
              </a:graphicData>
            </a:graphic>
          </wp:inline>
        </w:drawing>
      </w:r>
    </w:p>
    <w:sectPr w:rsidR="00AA3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7D"/>
    <w:rsid w:val="002C5A37"/>
    <w:rsid w:val="005A4EE3"/>
    <w:rsid w:val="00933F46"/>
    <w:rsid w:val="00AA3726"/>
    <w:rsid w:val="00C207E4"/>
    <w:rsid w:val="00D22E7D"/>
    <w:rsid w:val="00E2623C"/>
    <w:rsid w:val="00E6317A"/>
    <w:rsid w:val="00E81BE9"/>
    <w:rsid w:val="00EA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A3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2623C"/>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2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5A3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2623C"/>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2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7</cp:revision>
  <dcterms:created xsi:type="dcterms:W3CDTF">2021-08-18T12:53:00Z</dcterms:created>
  <dcterms:modified xsi:type="dcterms:W3CDTF">2021-11-05T10:23:00Z</dcterms:modified>
</cp:coreProperties>
</file>